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85EC9" w14:textId="77777777" w:rsidR="008C4641" w:rsidRDefault="00277A96">
      <w:pPr>
        <w:spacing w:after="80"/>
        <w:jc w:val="center"/>
      </w:pPr>
      <w:r>
        <w:rPr>
          <w:rFonts w:ascii="Source Serif Pro" w:eastAsia="Source Serif Pro" w:hAnsi="Source Serif Pro" w:cs="Source Serif Pro"/>
          <w:color w:val="595959"/>
        </w:rPr>
        <w:t>Załącznik nr 8 do Regulaminu rekrutacji uczestników projektu MERIT</w:t>
      </w:r>
    </w:p>
    <w:p w14:paraId="26D947D9" w14:textId="77777777" w:rsidR="008C4641" w:rsidRDefault="00277A96">
      <w:pPr>
        <w:spacing w:after="80"/>
        <w:jc w:val="center"/>
      </w:pPr>
      <w:r>
        <w:rPr>
          <w:rFonts w:ascii="Source Serif Pro" w:eastAsia="Source Serif Pro" w:hAnsi="Source Serif Pro" w:cs="Source Serif Pro"/>
          <w:b/>
          <w:bCs/>
          <w:color w:val="1F3864"/>
          <w:sz w:val="28"/>
          <w:szCs w:val="28"/>
        </w:rPr>
        <w:t>Wykaz priorytetowych dziedzin medycyny</w:t>
      </w:r>
    </w:p>
    <w:p w14:paraId="78A608D9" w14:textId="77777777" w:rsidR="008C4641" w:rsidRDefault="00277A96">
      <w:pPr>
        <w:spacing w:after="200"/>
        <w:jc w:val="center"/>
      </w:pPr>
      <w:r>
        <w:rPr>
          <w:rFonts w:ascii="Source Serif Pro" w:eastAsia="Source Serif Pro" w:hAnsi="Source Serif Pro" w:cs="Source Serif Pro"/>
          <w:color w:val="595959"/>
        </w:rPr>
        <w:t>Rozporządzenie Ministra Zdrowia z dnia 27 grudnia 2022 r. (Dz.U. z 2024 r. poz. 791)</w:t>
      </w:r>
    </w:p>
    <w:p w14:paraId="14AE75CE" w14:textId="77777777" w:rsidR="008C4641" w:rsidRDefault="00277A96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Zgodnie z rozporządzeniem Ministra Zdrowia z dnia 27 grudnia 2022 r. w sprawie określenia priorytetowych dziedzin medycyny (Dz.U. z 2024 r. poz. 791), do priorytetowych dziedzin medycyny zaliczają się następujące specjalizacje lekarskie:</w:t>
      </w:r>
    </w:p>
    <w:p w14:paraId="03EA14D0" w14:textId="77777777" w:rsidR="008C4641" w:rsidRDefault="008C464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8560"/>
      </w:tblGrid>
      <w:tr w:rsidR="008C4641" w14:paraId="35BC6038" w14:textId="77777777">
        <w:tc>
          <w:tcPr>
            <w:tcW w:w="8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2D3326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  <w:color w:val="FFFFFF"/>
              </w:rPr>
              <w:t>Lp.</w:t>
            </w:r>
          </w:p>
        </w:tc>
        <w:tc>
          <w:tcPr>
            <w:tcW w:w="856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100C80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  <w:color w:val="FFFFFF"/>
              </w:rPr>
              <w:t>Priorytetowa dziedzina medycyny / specjalizacja</w:t>
            </w:r>
          </w:p>
        </w:tc>
      </w:tr>
      <w:tr w:rsidR="008C4641" w14:paraId="238EEE26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C41665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1.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9BD031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Anestezjologia i intensywna terapia</w:t>
            </w:r>
          </w:p>
        </w:tc>
      </w:tr>
      <w:tr w:rsidR="008C4641" w14:paraId="6EC3A622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52F581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2.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A13D91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Chirurgia ogólna</w:t>
            </w:r>
          </w:p>
        </w:tc>
      </w:tr>
      <w:tr w:rsidR="008C4641" w14:paraId="4ADF0FA8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C96AF9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3.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19BFC7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Chirurgia onkologiczna</w:t>
            </w:r>
          </w:p>
        </w:tc>
      </w:tr>
      <w:tr w:rsidR="008C4641" w14:paraId="387748AF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687C1E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4.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6E6DCE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Chirurgia dziecięca</w:t>
            </w:r>
          </w:p>
        </w:tc>
      </w:tr>
      <w:tr w:rsidR="008C4641" w14:paraId="0A2263A7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2C3B0A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5.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E1C3D3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Choroby wewnętrzne</w:t>
            </w:r>
          </w:p>
        </w:tc>
      </w:tr>
      <w:tr w:rsidR="008C4641" w14:paraId="3AFD7F9B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55A3A8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6.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744164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Choroby zakaźne</w:t>
            </w:r>
          </w:p>
        </w:tc>
      </w:tr>
      <w:tr w:rsidR="008C4641" w14:paraId="1307151A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1534D4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7.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98627D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Geriatria</w:t>
            </w:r>
          </w:p>
        </w:tc>
      </w:tr>
      <w:tr w:rsidR="008C4641" w14:paraId="44F1D116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C1490F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8.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1C8A48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Hematologia</w:t>
            </w:r>
          </w:p>
        </w:tc>
      </w:tr>
      <w:tr w:rsidR="008C4641" w14:paraId="1EE0AF98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EF062C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9.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CC7CE8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Kardiologia dziecięca</w:t>
            </w:r>
          </w:p>
        </w:tc>
      </w:tr>
      <w:tr w:rsidR="008C4641" w14:paraId="11C8A503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BD0F7F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10.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08343B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Medycyna paliatywna</w:t>
            </w:r>
          </w:p>
        </w:tc>
      </w:tr>
      <w:tr w:rsidR="008C4641" w14:paraId="57490A70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6F1504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11.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862BBF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Medycyna ratunkowa</w:t>
            </w:r>
          </w:p>
        </w:tc>
      </w:tr>
      <w:tr w:rsidR="008C4641" w14:paraId="767C5F6C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22528A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12.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C54888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Medycyna rodzinna</w:t>
            </w:r>
          </w:p>
        </w:tc>
      </w:tr>
      <w:tr w:rsidR="008C4641" w14:paraId="6CE0495C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65A028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13.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BDE3FE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Neonatologia</w:t>
            </w:r>
          </w:p>
        </w:tc>
      </w:tr>
      <w:tr w:rsidR="008C4641" w14:paraId="1747F144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6B3034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14.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252D4E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Neurologia</w:t>
            </w:r>
          </w:p>
        </w:tc>
      </w:tr>
      <w:tr w:rsidR="008C4641" w14:paraId="2878237E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FF6EC8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15.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49C786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Neurologia dziecięca</w:t>
            </w:r>
          </w:p>
        </w:tc>
      </w:tr>
      <w:tr w:rsidR="008C4641" w14:paraId="68712795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F65B03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16.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0E4B72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Onkologia i hematologia dziecięca</w:t>
            </w:r>
          </w:p>
        </w:tc>
      </w:tr>
      <w:tr w:rsidR="008C4641" w14:paraId="529108D3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0870CB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17.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DC0AA4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Onkologia kliniczna</w:t>
            </w:r>
          </w:p>
        </w:tc>
      </w:tr>
      <w:tr w:rsidR="008C4641" w14:paraId="5E038ED8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0C58ED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18.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BC4081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Radioterapia onkologiczna</w:t>
            </w:r>
          </w:p>
        </w:tc>
      </w:tr>
      <w:tr w:rsidR="008C4641" w14:paraId="0FF96C1B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8BE995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19.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8CCF4D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Patomorfologia</w:t>
            </w:r>
          </w:p>
        </w:tc>
      </w:tr>
      <w:tr w:rsidR="008C4641" w14:paraId="59651A29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B504F3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20.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8BC082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Pediatria</w:t>
            </w:r>
          </w:p>
        </w:tc>
      </w:tr>
      <w:tr w:rsidR="008C4641" w14:paraId="16E43AB9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A9760E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21.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22C4C8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Psychiatria</w:t>
            </w:r>
          </w:p>
        </w:tc>
      </w:tr>
      <w:tr w:rsidR="008C4641" w14:paraId="3727F169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AD8DAB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22.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20B762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Psychiatria dzieci i młodzieży</w:t>
            </w:r>
          </w:p>
        </w:tc>
      </w:tr>
      <w:tr w:rsidR="008C4641" w14:paraId="5CD9064E" w14:textId="77777777">
        <w:tc>
          <w:tcPr>
            <w:tcW w:w="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651593" w14:textId="77777777" w:rsidR="008C4641" w:rsidRDefault="00277A96">
            <w:r>
              <w:rPr>
                <w:rFonts w:ascii="Source Serif Pro" w:eastAsia="Source Serif Pro" w:hAnsi="Source Serif Pro" w:cs="Source Serif Pro"/>
                <w:b/>
                <w:bCs/>
              </w:rPr>
              <w:t>23.</w:t>
            </w:r>
          </w:p>
        </w:tc>
        <w:tc>
          <w:tcPr>
            <w:tcW w:w="85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F9665E" w14:textId="77777777" w:rsidR="008C4641" w:rsidRDefault="00277A96">
            <w:r>
              <w:rPr>
                <w:rFonts w:ascii="Source Serif Pro" w:eastAsia="Source Serif Pro" w:hAnsi="Source Serif Pro" w:cs="Source Serif Pro"/>
              </w:rPr>
              <w:t>Stomatologia dziecięca</w:t>
            </w:r>
          </w:p>
        </w:tc>
      </w:tr>
    </w:tbl>
    <w:p w14:paraId="0CD3B63B" w14:textId="77777777" w:rsidR="008C4641" w:rsidRDefault="008C464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C4641" w14:paraId="4E75A00C" w14:textId="77777777">
        <w:tc>
          <w:tcPr>
            <w:tcW w:w="9360" w:type="dxa"/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02AB62" w14:textId="77777777" w:rsidR="008C4641" w:rsidRDefault="00277A96">
            <w:pPr>
              <w:jc w:val="both"/>
            </w:pPr>
            <w:r>
              <w:rPr>
                <w:rFonts w:ascii="Source Serif Pro" w:eastAsia="Source Serif Pro" w:hAnsi="Source Serif Pro" w:cs="Source Serif Pro"/>
                <w:i/>
                <w:iCs/>
              </w:rPr>
              <w:t>Przy dużej liczbie zgłoszeń w Grupie A (lekarze), gdy liczba kwalifikowalnych kandydatów przekracza dostępny limit miejsc, o kolejności kwalifikacji decyduje przynależność specjalizacji kandydata do powyższego wykazu. Osoby posiadające specjalizację priorytetową lub będące w trakcie specjalizacji priorytetowej otrzymują pierwszeństwo przed pozostałymi kandydatami.</w:t>
            </w:r>
          </w:p>
        </w:tc>
      </w:tr>
    </w:tbl>
    <w:p w14:paraId="1189D736" w14:textId="77777777" w:rsidR="008C4641" w:rsidRDefault="008C4641">
      <w:pPr>
        <w:spacing w:after="120"/>
      </w:pPr>
    </w:p>
    <w:p w14:paraId="7011E6D7" w14:textId="77777777" w:rsidR="008C4641" w:rsidRDefault="00277A96">
      <w:pPr>
        <w:spacing w:after="80"/>
      </w:pPr>
      <w:r>
        <w:rPr>
          <w:rFonts w:ascii="Source Serif Pro" w:eastAsia="Source Serif Pro" w:hAnsi="Source Serif Pro" w:cs="Source Serif Pro"/>
          <w:i/>
          <w:iCs/>
          <w:color w:val="595959"/>
        </w:rPr>
        <w:t>Podstawa prawna: rozporządzenie Ministra Zdrowia z dnia 27 grudnia 2022 r. w sprawie określenia priorytetowych dziedzin medycyny (Dz.U. z 2024 r. poz. 791).</w:t>
      </w:r>
    </w:p>
    <w:sectPr w:rsidR="008C4641" w:rsidSect="002568AC">
      <w:headerReference w:type="default" r:id="rId7"/>
      <w:headerReference w:type="first" r:id="rId8"/>
      <w:pgSz w:w="11906" w:h="16838"/>
      <w:pgMar w:top="1080" w:right="1080" w:bottom="108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B6A41" w14:textId="77777777" w:rsidR="00277A96" w:rsidRDefault="00277A96" w:rsidP="00BA30F2">
      <w:r>
        <w:separator/>
      </w:r>
    </w:p>
  </w:endnote>
  <w:endnote w:type="continuationSeparator" w:id="0">
    <w:p w14:paraId="433346BE" w14:textId="77777777" w:rsidR="00277A96" w:rsidRDefault="00277A96" w:rsidP="00BA3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4018E" w14:textId="77777777" w:rsidR="00277A96" w:rsidRDefault="00277A96" w:rsidP="00BA30F2">
      <w:r>
        <w:separator/>
      </w:r>
    </w:p>
  </w:footnote>
  <w:footnote w:type="continuationSeparator" w:id="0">
    <w:p w14:paraId="126D8CD4" w14:textId="77777777" w:rsidR="00277A96" w:rsidRDefault="00277A96" w:rsidP="00BA3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7733E" w14:textId="7362FE02" w:rsidR="00BA30F2" w:rsidRDefault="00BA30F2" w:rsidP="00BA30F2">
    <w:pPr>
      <w:pStyle w:val="Nagwek"/>
      <w:jc w:val="center"/>
    </w:pPr>
  </w:p>
  <w:p w14:paraId="37D30472" w14:textId="5E6CC7AB" w:rsidR="00BA30F2" w:rsidRDefault="00BA30F2" w:rsidP="002568AC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4C70A" w14:textId="29276F5A" w:rsidR="00BA30F2" w:rsidRDefault="00BA30F2" w:rsidP="002568AC">
    <w:pPr>
      <w:pStyle w:val="Nagwek"/>
      <w:jc w:val="center"/>
    </w:pPr>
    <w:r>
      <w:rPr>
        <w:noProof/>
      </w:rPr>
      <w:drawing>
        <wp:inline distT="0" distB="0" distL="0" distR="0" wp14:anchorId="53E2814E" wp14:editId="42BEB4B6">
          <wp:extent cx="3889375" cy="548640"/>
          <wp:effectExtent l="0" t="0" r="0" b="3810"/>
          <wp:docPr id="95659273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937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CC7884"/>
    <w:multiLevelType w:val="hybridMultilevel"/>
    <w:tmpl w:val="819486B0"/>
    <w:lvl w:ilvl="0" w:tplc="9B324AC4">
      <w:start w:val="1"/>
      <w:numFmt w:val="bullet"/>
      <w:lvlText w:val="●"/>
      <w:lvlJc w:val="left"/>
      <w:pPr>
        <w:ind w:left="720" w:hanging="360"/>
      </w:pPr>
    </w:lvl>
    <w:lvl w:ilvl="1" w:tplc="BE508286">
      <w:start w:val="1"/>
      <w:numFmt w:val="bullet"/>
      <w:lvlText w:val="○"/>
      <w:lvlJc w:val="left"/>
      <w:pPr>
        <w:ind w:left="1440" w:hanging="360"/>
      </w:pPr>
    </w:lvl>
    <w:lvl w:ilvl="2" w:tplc="E5E8918E">
      <w:start w:val="1"/>
      <w:numFmt w:val="bullet"/>
      <w:lvlText w:val="■"/>
      <w:lvlJc w:val="left"/>
      <w:pPr>
        <w:ind w:left="2160" w:hanging="360"/>
      </w:pPr>
    </w:lvl>
    <w:lvl w:ilvl="3" w:tplc="937220F8">
      <w:start w:val="1"/>
      <w:numFmt w:val="bullet"/>
      <w:lvlText w:val="●"/>
      <w:lvlJc w:val="left"/>
      <w:pPr>
        <w:ind w:left="2880" w:hanging="360"/>
      </w:pPr>
    </w:lvl>
    <w:lvl w:ilvl="4" w:tplc="2716D2C4">
      <w:start w:val="1"/>
      <w:numFmt w:val="bullet"/>
      <w:lvlText w:val="○"/>
      <w:lvlJc w:val="left"/>
      <w:pPr>
        <w:ind w:left="3600" w:hanging="360"/>
      </w:pPr>
    </w:lvl>
    <w:lvl w:ilvl="5" w:tplc="6660C97E">
      <w:start w:val="1"/>
      <w:numFmt w:val="bullet"/>
      <w:lvlText w:val="■"/>
      <w:lvlJc w:val="left"/>
      <w:pPr>
        <w:ind w:left="4320" w:hanging="360"/>
      </w:pPr>
    </w:lvl>
    <w:lvl w:ilvl="6" w:tplc="5E569144">
      <w:start w:val="1"/>
      <w:numFmt w:val="bullet"/>
      <w:lvlText w:val="●"/>
      <w:lvlJc w:val="left"/>
      <w:pPr>
        <w:ind w:left="5040" w:hanging="360"/>
      </w:pPr>
    </w:lvl>
    <w:lvl w:ilvl="7" w:tplc="6C6CEAC8">
      <w:start w:val="1"/>
      <w:numFmt w:val="bullet"/>
      <w:lvlText w:val="●"/>
      <w:lvlJc w:val="left"/>
      <w:pPr>
        <w:ind w:left="5760" w:hanging="360"/>
      </w:pPr>
    </w:lvl>
    <w:lvl w:ilvl="8" w:tplc="90523040">
      <w:start w:val="1"/>
      <w:numFmt w:val="bullet"/>
      <w:lvlText w:val="●"/>
      <w:lvlJc w:val="left"/>
      <w:pPr>
        <w:ind w:left="6480" w:hanging="360"/>
      </w:pPr>
    </w:lvl>
  </w:abstractNum>
  <w:num w:numId="1" w16cid:durableId="4331331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641"/>
    <w:rsid w:val="002568AC"/>
    <w:rsid w:val="00277A96"/>
    <w:rsid w:val="00344AA6"/>
    <w:rsid w:val="003E3B32"/>
    <w:rsid w:val="00610289"/>
    <w:rsid w:val="006F6000"/>
    <w:rsid w:val="008C4641"/>
    <w:rsid w:val="008D4BF7"/>
    <w:rsid w:val="00A914FB"/>
    <w:rsid w:val="00BA30F2"/>
    <w:rsid w:val="00C50591"/>
    <w:rsid w:val="00C6027B"/>
    <w:rsid w:val="00C72C0C"/>
    <w:rsid w:val="00DA188B"/>
    <w:rsid w:val="00E17854"/>
    <w:rsid w:val="00E37643"/>
    <w:rsid w:val="00E65EA9"/>
    <w:rsid w:val="00EC65F5"/>
    <w:rsid w:val="00F31634"/>
    <w:rsid w:val="00F5026F"/>
    <w:rsid w:val="00F7490A"/>
    <w:rsid w:val="00F97681"/>
    <w:rsid w:val="00FC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03C3B"/>
  <w15:docId w15:val="{409C82CF-7962-4C12-80EA-E0771625B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Poprawka">
    <w:name w:val="Revision"/>
    <w:hidden/>
    <w:uiPriority w:val="99"/>
    <w:semiHidden/>
    <w:rsid w:val="00F31634"/>
  </w:style>
  <w:style w:type="paragraph" w:styleId="NormalnyWeb">
    <w:name w:val="Normal (Web)"/>
    <w:basedOn w:val="Normalny"/>
    <w:uiPriority w:val="99"/>
    <w:unhideWhenUsed/>
    <w:rsid w:val="003E3B32"/>
    <w:pPr>
      <w:spacing w:before="100" w:beforeAutospacing="1" w:after="100" w:afterAutospacing="1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30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30F2"/>
  </w:style>
  <w:style w:type="paragraph" w:styleId="Stopka">
    <w:name w:val="footer"/>
    <w:basedOn w:val="Normalny"/>
    <w:link w:val="StopkaZnak"/>
    <w:uiPriority w:val="99"/>
    <w:unhideWhenUsed/>
    <w:rsid w:val="00BA30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30F2"/>
  </w:style>
  <w:style w:type="character" w:styleId="Odwoaniedokomentarza">
    <w:name w:val="annotation reference"/>
    <w:basedOn w:val="Domylnaczcionkaakapitu"/>
    <w:uiPriority w:val="99"/>
    <w:semiHidden/>
    <w:unhideWhenUsed/>
    <w:rsid w:val="00FC14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145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145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4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4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223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Szubstarska</dc:creator>
  <cp:lastModifiedBy>Diana Rychlica</cp:lastModifiedBy>
  <cp:revision>6</cp:revision>
  <dcterms:created xsi:type="dcterms:W3CDTF">2026-10-13T10:04:00Z</dcterms:created>
  <dcterms:modified xsi:type="dcterms:W3CDTF">2026-10-15T07:09:00Z</dcterms:modified>
</cp:coreProperties>
</file>